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DB047" w14:textId="77777777" w:rsidR="004A5CDB" w:rsidRDefault="004A5CDB">
      <w:pPr>
        <w:jc w:val="both"/>
        <w:rPr>
          <w:sz w:val="22"/>
        </w:rPr>
      </w:pPr>
      <w:bookmarkStart w:id="0" w:name="_GoBack"/>
      <w:bookmarkEnd w:id="0"/>
    </w:p>
    <w:p w14:paraId="1E3097D2" w14:textId="77777777" w:rsidR="007E6FF3" w:rsidRDefault="007E6FF3">
      <w:pPr>
        <w:jc w:val="both"/>
        <w:rPr>
          <w:sz w:val="22"/>
        </w:rPr>
      </w:pPr>
    </w:p>
    <w:p w14:paraId="493D08DD" w14:textId="77777777" w:rsidR="004A5CDB" w:rsidRDefault="004A5CDB">
      <w:pPr>
        <w:jc w:val="both"/>
        <w:rPr>
          <w:sz w:val="22"/>
        </w:rPr>
      </w:pPr>
    </w:p>
    <w:p w14:paraId="4589DB41" w14:textId="77777777" w:rsidR="004A5CDB" w:rsidRDefault="004A5CDB">
      <w:pPr>
        <w:jc w:val="both"/>
        <w:rPr>
          <w:sz w:val="22"/>
        </w:rPr>
      </w:pPr>
    </w:p>
    <w:p w14:paraId="54AD25B4" w14:textId="77777777" w:rsidR="007E6FF3" w:rsidRDefault="007E6FF3" w:rsidP="007E6FF3">
      <w:pPr>
        <w:pStyle w:val="Heading1"/>
        <w:rPr>
          <w:bCs/>
          <w:i/>
          <w:iCs/>
        </w:rPr>
      </w:pPr>
      <w:r>
        <w:rPr>
          <w:bCs/>
          <w:i/>
          <w:iCs/>
        </w:rPr>
        <w:t xml:space="preserve">Re:  Mills </w:t>
      </w:r>
      <w:r w:rsidR="000E6FB4">
        <w:rPr>
          <w:bCs/>
          <w:i/>
          <w:iCs/>
        </w:rPr>
        <w:t>Ranch</w:t>
      </w:r>
      <w:r>
        <w:rPr>
          <w:bCs/>
          <w:i/>
          <w:iCs/>
        </w:rPr>
        <w:t xml:space="preserve"> Homes Association – Dues Summary</w:t>
      </w:r>
    </w:p>
    <w:p w14:paraId="118C431C" w14:textId="77777777" w:rsidR="007E6FF3" w:rsidRDefault="007E6FF3" w:rsidP="007E6FF3">
      <w:pPr>
        <w:jc w:val="both"/>
        <w:outlineLvl w:val="0"/>
        <w:rPr>
          <w:sz w:val="22"/>
        </w:rPr>
      </w:pPr>
      <w:r>
        <w:rPr>
          <w:sz w:val="22"/>
        </w:rPr>
        <w:t xml:space="preserve"> </w:t>
      </w:r>
    </w:p>
    <w:p w14:paraId="4CF73F0B" w14:textId="4ACF6CDD" w:rsidR="007E6FF3" w:rsidRDefault="007E6FF3" w:rsidP="007E6FF3">
      <w:pPr>
        <w:jc w:val="both"/>
        <w:rPr>
          <w:sz w:val="22"/>
        </w:rPr>
      </w:pPr>
      <w:r>
        <w:rPr>
          <w:sz w:val="22"/>
        </w:rPr>
        <w:t xml:space="preserve">Dear Mills </w:t>
      </w:r>
      <w:r w:rsidR="000E6FB4">
        <w:rPr>
          <w:sz w:val="22"/>
        </w:rPr>
        <w:t>Ranch</w:t>
      </w:r>
      <w:r>
        <w:rPr>
          <w:sz w:val="22"/>
        </w:rPr>
        <w:t xml:space="preserve"> Resident:</w:t>
      </w:r>
    </w:p>
    <w:p w14:paraId="443A79D7" w14:textId="77777777" w:rsidR="007E6FF3" w:rsidRDefault="007E6FF3" w:rsidP="007E6FF3">
      <w:pPr>
        <w:jc w:val="both"/>
        <w:rPr>
          <w:sz w:val="22"/>
        </w:rPr>
      </w:pPr>
    </w:p>
    <w:p w14:paraId="1260F5B7" w14:textId="4C060F8F" w:rsidR="007E6FF3" w:rsidRDefault="007E6FF3" w:rsidP="007E6FF3">
      <w:pPr>
        <w:pStyle w:val="BodyText"/>
      </w:pPr>
      <w:r>
        <w:t xml:space="preserve">This letter provides a brief summary of the Association dues and related closing charges payable for the Mills </w:t>
      </w:r>
      <w:r w:rsidR="000E6FB4">
        <w:t>Ranch</w:t>
      </w:r>
      <w:r>
        <w:t xml:space="preserve"> Community.  The following is an explanation of the fees:</w:t>
      </w:r>
    </w:p>
    <w:p w14:paraId="2CBF2155" w14:textId="77777777" w:rsidR="007E6FF3" w:rsidRDefault="007E6FF3" w:rsidP="007E6FF3">
      <w:pPr>
        <w:pStyle w:val="BodyText"/>
      </w:pPr>
    </w:p>
    <w:p w14:paraId="3B6E8808" w14:textId="77777777" w:rsidR="007E6FF3" w:rsidRDefault="007E6FF3" w:rsidP="007E6FF3">
      <w:pPr>
        <w:pStyle w:val="BodyText"/>
      </w:pPr>
    </w:p>
    <w:p w14:paraId="1A655FB1" w14:textId="106E496C" w:rsidR="007E6FF3" w:rsidRDefault="007E6FF3" w:rsidP="007E6FF3">
      <w:pPr>
        <w:numPr>
          <w:ilvl w:val="0"/>
          <w:numId w:val="1"/>
        </w:numPr>
        <w:tabs>
          <w:tab w:val="clear" w:pos="360"/>
          <w:tab w:val="num" w:pos="720"/>
        </w:tabs>
        <w:ind w:left="720"/>
        <w:jc w:val="both"/>
        <w:rPr>
          <w:sz w:val="22"/>
        </w:rPr>
      </w:pPr>
      <w:r>
        <w:rPr>
          <w:b/>
          <w:bCs/>
          <w:i/>
          <w:iCs/>
          <w:sz w:val="22"/>
          <w:u w:val="single"/>
        </w:rPr>
        <w:t>Annual Dues</w:t>
      </w:r>
      <w:r>
        <w:rPr>
          <w:sz w:val="22"/>
        </w:rPr>
        <w:t>: Annual Dues are $1</w:t>
      </w:r>
      <w:r w:rsidR="000E6FB4">
        <w:rPr>
          <w:sz w:val="22"/>
        </w:rPr>
        <w:t>40</w:t>
      </w:r>
      <w:r>
        <w:rPr>
          <w:sz w:val="22"/>
        </w:rPr>
        <w:t>0.00 per year and are due January 1</w:t>
      </w:r>
      <w:r w:rsidRPr="00DC468D">
        <w:rPr>
          <w:sz w:val="22"/>
          <w:vertAlign w:val="superscript"/>
        </w:rPr>
        <w:t>st</w:t>
      </w:r>
      <w:r>
        <w:rPr>
          <w:sz w:val="22"/>
        </w:rPr>
        <w:t xml:space="preserve"> each year.  The current year’s dues are prorated.  Dues cover general operating costs of the community which include but are not limited to the common area turf maintenance, irrigation costs, insurance for common areas</w:t>
      </w:r>
      <w:proofErr w:type="gramStart"/>
      <w:r>
        <w:rPr>
          <w:sz w:val="22"/>
        </w:rPr>
        <w:t>,  and</w:t>
      </w:r>
      <w:proofErr w:type="gramEnd"/>
      <w:r>
        <w:rPr>
          <w:sz w:val="22"/>
        </w:rPr>
        <w:t xml:space="preserve"> management fees.</w:t>
      </w:r>
    </w:p>
    <w:p w14:paraId="3E14D966" w14:textId="77777777" w:rsidR="007E6FF3" w:rsidRDefault="007E6FF3" w:rsidP="007E6FF3">
      <w:pPr>
        <w:jc w:val="both"/>
        <w:rPr>
          <w:sz w:val="22"/>
        </w:rPr>
      </w:pPr>
    </w:p>
    <w:p w14:paraId="40E4FE90" w14:textId="77777777" w:rsidR="007E6FF3" w:rsidRDefault="007E6FF3" w:rsidP="007E6FF3">
      <w:pPr>
        <w:numPr>
          <w:ilvl w:val="0"/>
          <w:numId w:val="1"/>
        </w:numPr>
        <w:tabs>
          <w:tab w:val="clear" w:pos="360"/>
          <w:tab w:val="num" w:pos="720"/>
        </w:tabs>
        <w:ind w:left="720"/>
        <w:jc w:val="both"/>
        <w:rPr>
          <w:sz w:val="22"/>
        </w:rPr>
      </w:pPr>
      <w:r>
        <w:rPr>
          <w:b/>
          <w:bCs/>
          <w:i/>
          <w:iCs/>
          <w:sz w:val="22"/>
          <w:u w:val="single"/>
        </w:rPr>
        <w:t>Initiation Fee</w:t>
      </w:r>
      <w:r>
        <w:rPr>
          <w:sz w:val="22"/>
        </w:rPr>
        <w:t xml:space="preserve">: A fee of $500 is paid at each closing.  It is allocated to the operating fund for your community and payable to your community as are the Annual Dues. </w:t>
      </w:r>
    </w:p>
    <w:p w14:paraId="2C06B25B" w14:textId="77777777" w:rsidR="007E6FF3" w:rsidRDefault="007E6FF3" w:rsidP="007E6FF3">
      <w:pPr>
        <w:jc w:val="both"/>
        <w:rPr>
          <w:sz w:val="22"/>
          <w:u w:val="single"/>
        </w:rPr>
      </w:pPr>
    </w:p>
    <w:p w14:paraId="17F510F2" w14:textId="7B052106" w:rsidR="007E6FF3" w:rsidRDefault="007E6FF3" w:rsidP="007E6FF3">
      <w:pPr>
        <w:numPr>
          <w:ilvl w:val="0"/>
          <w:numId w:val="1"/>
        </w:numPr>
        <w:tabs>
          <w:tab w:val="clear" w:pos="360"/>
          <w:tab w:val="num" w:pos="720"/>
        </w:tabs>
        <w:ind w:left="720"/>
        <w:jc w:val="both"/>
        <w:rPr>
          <w:sz w:val="22"/>
        </w:rPr>
      </w:pPr>
      <w:r>
        <w:rPr>
          <w:b/>
          <w:bCs/>
          <w:i/>
          <w:iCs/>
          <w:sz w:val="22"/>
          <w:u w:val="single"/>
        </w:rPr>
        <w:t>Transfer Fee</w:t>
      </w:r>
      <w:r w:rsidR="007C0BD7">
        <w:rPr>
          <w:sz w:val="22"/>
        </w:rPr>
        <w:t>: A $12</w:t>
      </w:r>
      <w:r>
        <w:rPr>
          <w:sz w:val="22"/>
        </w:rPr>
        <w:t>5 transfer fee is paid directly to the Management Company.  This fee is attributable to preparation of the information sent to each new owner and the requirements of the Management Company to provide information to the title or mortgage companies prior to each closing.  This check should be made payable to FirstService Residential.</w:t>
      </w:r>
    </w:p>
    <w:p w14:paraId="2F97DD1F" w14:textId="77777777" w:rsidR="007E6FF3" w:rsidRDefault="007E6FF3" w:rsidP="007E6FF3">
      <w:pPr>
        <w:jc w:val="both"/>
        <w:rPr>
          <w:sz w:val="22"/>
        </w:rPr>
      </w:pPr>
    </w:p>
    <w:p w14:paraId="700AB37E" w14:textId="77777777" w:rsidR="007E6FF3" w:rsidRDefault="007E6FF3" w:rsidP="007E6FF3">
      <w:pPr>
        <w:jc w:val="both"/>
        <w:rPr>
          <w:sz w:val="22"/>
        </w:rPr>
      </w:pPr>
    </w:p>
    <w:p w14:paraId="6594E2AE" w14:textId="77777777" w:rsidR="007E6FF3" w:rsidRDefault="007E6FF3" w:rsidP="007E6FF3">
      <w:pPr>
        <w:jc w:val="both"/>
        <w:rPr>
          <w:sz w:val="22"/>
        </w:rPr>
      </w:pPr>
      <w:r>
        <w:rPr>
          <w:sz w:val="22"/>
        </w:rPr>
        <w:t>During the 4</w:t>
      </w:r>
      <w:r>
        <w:rPr>
          <w:sz w:val="22"/>
          <w:vertAlign w:val="superscript"/>
        </w:rPr>
        <w:t>th</w:t>
      </w:r>
      <w:r>
        <w:rPr>
          <w:sz w:val="22"/>
        </w:rPr>
        <w:t xml:space="preserve"> quarter of each year we evaluate the cash flow needs of the community, the future projected capital expenses as well as the operating cash on hand to determine the dues level for the forth-coming year.  If there is an excess of cash on hand the Board of Directors may determine the need to lower the dues.  However the dues level must not be set artificially low from the beginning, as the community is restricted to the amount the dues may be increased annually.  Thus, when all the amenities are in and the Developer is no longer in control of the community the dues need to be at a level so the community can operate on its own.       </w:t>
      </w:r>
    </w:p>
    <w:p w14:paraId="1BC91B6F" w14:textId="77777777" w:rsidR="007E6FF3" w:rsidRDefault="007E6FF3" w:rsidP="007E6FF3">
      <w:pPr>
        <w:jc w:val="both"/>
        <w:rPr>
          <w:sz w:val="22"/>
        </w:rPr>
      </w:pPr>
    </w:p>
    <w:p w14:paraId="350F17FD" w14:textId="77777777" w:rsidR="004A5CDB" w:rsidRDefault="004A5CDB">
      <w:pPr>
        <w:jc w:val="both"/>
        <w:rPr>
          <w:sz w:val="22"/>
        </w:rPr>
      </w:pPr>
    </w:p>
    <w:p w14:paraId="1F182545" w14:textId="77777777" w:rsidR="005471AA" w:rsidRDefault="005471AA">
      <w:pPr>
        <w:tabs>
          <w:tab w:val="left" w:pos="360"/>
        </w:tabs>
        <w:jc w:val="both"/>
        <w:rPr>
          <w:sz w:val="22"/>
        </w:rPr>
      </w:pPr>
    </w:p>
    <w:p w14:paraId="7C5A922B" w14:textId="77777777" w:rsidR="005471AA" w:rsidRDefault="004A5CDB">
      <w:pPr>
        <w:tabs>
          <w:tab w:val="left" w:pos="360"/>
        </w:tabs>
        <w:jc w:val="both"/>
        <w:rPr>
          <w:sz w:val="22"/>
        </w:rPr>
      </w:pPr>
      <w:r>
        <w:rPr>
          <w:sz w:val="22"/>
        </w:rPr>
        <w:t xml:space="preserve">_________________________________ </w:t>
      </w:r>
      <w:r w:rsidR="005471AA">
        <w:rPr>
          <w:sz w:val="22"/>
        </w:rPr>
        <w:tab/>
        <w:t>____________</w:t>
      </w:r>
    </w:p>
    <w:p w14:paraId="39A66E1D" w14:textId="77777777" w:rsidR="005471AA" w:rsidRDefault="005471AA">
      <w:pPr>
        <w:tabs>
          <w:tab w:val="left" w:pos="360"/>
        </w:tabs>
        <w:jc w:val="both"/>
        <w:rPr>
          <w:sz w:val="22"/>
        </w:rPr>
      </w:pPr>
      <w:r>
        <w:rPr>
          <w:sz w:val="22"/>
        </w:rPr>
        <w:t>Buyer</w:t>
      </w:r>
      <w:r>
        <w:rPr>
          <w:sz w:val="22"/>
        </w:rPr>
        <w:tab/>
      </w:r>
      <w:r>
        <w:rPr>
          <w:sz w:val="22"/>
        </w:rPr>
        <w:tab/>
      </w:r>
      <w:r>
        <w:rPr>
          <w:sz w:val="22"/>
        </w:rPr>
        <w:tab/>
      </w:r>
      <w:r>
        <w:rPr>
          <w:sz w:val="22"/>
        </w:rPr>
        <w:tab/>
      </w:r>
      <w:r>
        <w:rPr>
          <w:sz w:val="22"/>
        </w:rPr>
        <w:tab/>
      </w:r>
      <w:r>
        <w:rPr>
          <w:sz w:val="22"/>
        </w:rPr>
        <w:tab/>
        <w:t>Date</w:t>
      </w:r>
    </w:p>
    <w:p w14:paraId="40DB16FE" w14:textId="77777777" w:rsidR="005471AA" w:rsidRDefault="005471AA">
      <w:pPr>
        <w:tabs>
          <w:tab w:val="left" w:pos="360"/>
        </w:tabs>
        <w:jc w:val="both"/>
        <w:rPr>
          <w:sz w:val="22"/>
        </w:rPr>
      </w:pPr>
    </w:p>
    <w:p w14:paraId="300DDA8D" w14:textId="77777777" w:rsidR="005471AA" w:rsidRDefault="005471AA">
      <w:pPr>
        <w:tabs>
          <w:tab w:val="left" w:pos="360"/>
        </w:tabs>
        <w:jc w:val="both"/>
        <w:rPr>
          <w:sz w:val="22"/>
        </w:rPr>
      </w:pPr>
    </w:p>
    <w:p w14:paraId="1E86299E" w14:textId="77777777" w:rsidR="004A5CDB" w:rsidRDefault="005471AA">
      <w:pPr>
        <w:tabs>
          <w:tab w:val="left" w:pos="360"/>
        </w:tabs>
        <w:jc w:val="both"/>
        <w:rPr>
          <w:sz w:val="22"/>
        </w:rPr>
      </w:pPr>
      <w:r>
        <w:rPr>
          <w:sz w:val="22"/>
        </w:rPr>
        <w:t>_________________________________</w:t>
      </w:r>
      <w:r>
        <w:rPr>
          <w:sz w:val="22"/>
        </w:rPr>
        <w:tab/>
        <w:t>____________</w:t>
      </w:r>
      <w:r w:rsidR="004A5CDB">
        <w:rPr>
          <w:sz w:val="22"/>
        </w:rPr>
        <w:tab/>
      </w:r>
    </w:p>
    <w:p w14:paraId="1BF75670" w14:textId="77777777" w:rsidR="004A5CDB" w:rsidRDefault="005471AA">
      <w:pPr>
        <w:tabs>
          <w:tab w:val="left" w:pos="360"/>
        </w:tabs>
        <w:jc w:val="both"/>
        <w:rPr>
          <w:sz w:val="22"/>
        </w:rPr>
      </w:pPr>
      <w:r>
        <w:rPr>
          <w:sz w:val="22"/>
        </w:rPr>
        <w:t>Buyer</w:t>
      </w:r>
      <w:r>
        <w:rPr>
          <w:sz w:val="22"/>
        </w:rPr>
        <w:tab/>
      </w:r>
      <w:r>
        <w:rPr>
          <w:sz w:val="22"/>
        </w:rPr>
        <w:tab/>
      </w:r>
      <w:r>
        <w:rPr>
          <w:sz w:val="22"/>
        </w:rPr>
        <w:tab/>
      </w:r>
      <w:r>
        <w:rPr>
          <w:sz w:val="22"/>
        </w:rPr>
        <w:tab/>
      </w:r>
      <w:r>
        <w:rPr>
          <w:sz w:val="22"/>
        </w:rPr>
        <w:tab/>
      </w:r>
      <w:r>
        <w:rPr>
          <w:sz w:val="22"/>
        </w:rPr>
        <w:tab/>
        <w:t>Date</w:t>
      </w:r>
    </w:p>
    <w:p w14:paraId="7ABBB776" w14:textId="77777777" w:rsidR="004A5CDB" w:rsidRDefault="004A5CDB">
      <w:pPr>
        <w:jc w:val="both"/>
        <w:rPr>
          <w:sz w:val="16"/>
        </w:rPr>
      </w:pPr>
    </w:p>
    <w:p w14:paraId="0E7A3397" w14:textId="77777777" w:rsidR="004A5CDB" w:rsidRDefault="004A5CDB">
      <w:pPr>
        <w:jc w:val="both"/>
        <w:rPr>
          <w:sz w:val="16"/>
        </w:rPr>
      </w:pPr>
    </w:p>
    <w:sectPr w:rsidR="004A5CDB">
      <w:pgSz w:w="12240" w:h="15840" w:code="1"/>
      <w:pgMar w:top="1008" w:right="1440" w:bottom="1008" w:left="1440" w:header="720" w:footer="720" w:gutter="0"/>
      <w:paperSrc w:first="11" w:other="1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F5119"/>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1AA"/>
    <w:rsid w:val="000833E2"/>
    <w:rsid w:val="000E6FB4"/>
    <w:rsid w:val="00437053"/>
    <w:rsid w:val="004A5CDB"/>
    <w:rsid w:val="005471AA"/>
    <w:rsid w:val="00601AAD"/>
    <w:rsid w:val="00776812"/>
    <w:rsid w:val="00797716"/>
    <w:rsid w:val="007C0BD7"/>
    <w:rsid w:val="007C2CD3"/>
    <w:rsid w:val="007E6FF3"/>
    <w:rsid w:val="00C05DCC"/>
    <w:rsid w:val="00C401DE"/>
    <w:rsid w:val="00F90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3ACB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jc w:val="both"/>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C05DCC"/>
    <w:rPr>
      <w:rFonts w:ascii="tahoma" w:hAnsi="tahoma" w:cs="tahoma"/>
      <w:sz w:val="16"/>
      <w:szCs w:val="16"/>
    </w:rPr>
  </w:style>
  <w:style w:type="character" w:customStyle="1" w:styleId="Heading1Char">
    <w:name w:val="Heading 1 Char"/>
    <w:link w:val="Heading1"/>
    <w:rsid w:val="007E6FF3"/>
    <w:rPr>
      <w:b/>
      <w:sz w:val="22"/>
    </w:rPr>
  </w:style>
  <w:style w:type="paragraph" w:styleId="BodyText">
    <w:name w:val="Body Text"/>
    <w:basedOn w:val="Normal"/>
    <w:link w:val="BodyTextChar"/>
    <w:rsid w:val="007E6FF3"/>
    <w:pPr>
      <w:jc w:val="both"/>
    </w:pPr>
    <w:rPr>
      <w:sz w:val="22"/>
    </w:rPr>
  </w:style>
  <w:style w:type="character" w:customStyle="1" w:styleId="BodyTextChar">
    <w:name w:val="Body Text Char"/>
    <w:link w:val="BodyText"/>
    <w:rsid w:val="007E6FF3"/>
    <w:rPr>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jc w:val="both"/>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C05DCC"/>
    <w:rPr>
      <w:rFonts w:ascii="tahoma" w:hAnsi="tahoma" w:cs="tahoma"/>
      <w:sz w:val="16"/>
      <w:szCs w:val="16"/>
    </w:rPr>
  </w:style>
  <w:style w:type="character" w:customStyle="1" w:styleId="Heading1Char">
    <w:name w:val="Heading 1 Char"/>
    <w:link w:val="Heading1"/>
    <w:rsid w:val="007E6FF3"/>
    <w:rPr>
      <w:b/>
      <w:sz w:val="22"/>
    </w:rPr>
  </w:style>
  <w:style w:type="paragraph" w:styleId="BodyText">
    <w:name w:val="Body Text"/>
    <w:basedOn w:val="Normal"/>
    <w:link w:val="BodyTextChar"/>
    <w:rsid w:val="007E6FF3"/>
    <w:pPr>
      <w:jc w:val="both"/>
    </w:pPr>
    <w:rPr>
      <w:sz w:val="22"/>
    </w:rPr>
  </w:style>
  <w:style w:type="character" w:customStyle="1" w:styleId="BodyTextChar">
    <w:name w:val="Body Text Char"/>
    <w:link w:val="BodyText"/>
    <w:rsid w:val="007E6FF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Wilkas-SL</vt:lpstr>
    </vt:vector>
  </TitlesOfParts>
  <Company>Curry Association Management</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Wilkas-SL</dc:title>
  <dc:subject/>
  <dc:creator>RAS</dc:creator>
  <cp:keywords/>
  <cp:lastModifiedBy>Lisa</cp:lastModifiedBy>
  <cp:revision>2</cp:revision>
  <cp:lastPrinted>2016-10-31T20:35:00Z</cp:lastPrinted>
  <dcterms:created xsi:type="dcterms:W3CDTF">2018-11-06T20:34:00Z</dcterms:created>
  <dcterms:modified xsi:type="dcterms:W3CDTF">2018-11-06T20:34:00Z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946422678</vt:i4>
  </property>
  <property fmtid="{D5CDD505-2E9C-101B-9397-08002B2CF9AE}" pid="3" name="_EmailSubject">
    <vt:lpwstr>Mills Farm - Dues Summary</vt:lpwstr>
  </property>
  <property fmtid="{D5CDD505-2E9C-101B-9397-08002B2CF9AE}" pid="4" name="_AuthorEmail">
    <vt:lpwstr>jburgess@curryre.com</vt:lpwstr>
  </property>
  <property fmtid="{D5CDD505-2E9C-101B-9397-08002B2CF9AE}" pid="5" name="_AuthorEmailDisplayName">
    <vt:lpwstr>Jason D. Burgess</vt:lpwstr>
  </property>
  <property fmtid="{D5CDD505-2E9C-101B-9397-08002B2CF9AE}" pid="6" name="_ReviewingToolsShownOnce">
    <vt:lpwstr/>
  </property>
</Properties>
</file>